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22DB6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3075"/>
        <w:jc w:val="left"/>
        <w:rPr>
          <w:rFonts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ascii="华文新魏" w:hAnsi="华文新魏" w:eastAsia="华文新魏" w:cs="华文新魏"/>
          <w:i w:val="0"/>
          <w:iCs w:val="0"/>
          <w:caps w:val="0"/>
          <w:color w:val="000000" w:themeColor="text1"/>
          <w:spacing w:val="15"/>
          <w:sz w:val="43"/>
          <w:szCs w:val="43"/>
          <w:shd w:val="clear" w:fill="FFFFFF"/>
          <w14:textFill>
            <w14:solidFill>
              <w14:schemeClr w14:val="tx1"/>
            </w14:solidFill>
          </w14:textFill>
        </w:rPr>
        <w:t>干股协议书</w:t>
      </w:r>
    </w:p>
    <w:p w14:paraId="6FC5060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1"/>
          <w:szCs w:val="21"/>
          <w:shd w:val="clear" w:fill="FFFFFF"/>
          <w14:textFill>
            <w14:solidFill>
              <w14:schemeClr w14:val="tx1"/>
            </w14:solidFill>
          </w14:textFill>
        </w:rPr>
        <w:t> </w:t>
      </w:r>
    </w:p>
    <w:p w14:paraId="46C3939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甲方：（公司名称）：</w:t>
      </w:r>
    </w:p>
    <w:p w14:paraId="26340E1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1"/>
          <w:szCs w:val="21"/>
          <w:shd w:val="clear" w:fill="FFFFFF"/>
          <w14:textFill>
            <w14:solidFill>
              <w14:schemeClr w14:val="tx1"/>
            </w14:solidFill>
          </w14:textFill>
        </w:rPr>
        <w:t>法人、股东：</w:t>
      </w:r>
    </w:p>
    <w:p w14:paraId="6E8730C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乙方：（姓名）  </w:t>
      </w:r>
    </w:p>
    <w:p w14:paraId="3092349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right="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身份证号码：</w:t>
      </w:r>
    </w:p>
    <w:p w14:paraId="6712FE9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   </w:t>
      </w:r>
    </w:p>
    <w:p w14:paraId="130C251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8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Style w:val="5"/>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鉴于，</w:t>
      </w:r>
    </w:p>
    <w:p w14:paraId="57FC416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2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1. 甲方是一家主营家庭保洁的服务公司。</w:t>
      </w:r>
    </w:p>
    <w:p w14:paraId="561F2D2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2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2. 乙方是甲方公司的最初核心创业团队成员的员工。</w:t>
      </w:r>
    </w:p>
    <w:p w14:paraId="1459D43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2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3. 为增强员工凝聚力和归属感，倡导员工与企业共同成长，甲方经公司创始股东同意，拟通过本协议，授予乙方具有分红意义的干股股份，并计划条件成熟时实施公司期权股权激励机制。</w:t>
      </w:r>
    </w:p>
    <w:p w14:paraId="24DC2A6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420" w:right="0" w:firstLine="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1"/>
          <w:szCs w:val="21"/>
          <w:shd w:val="clear" w:fill="FFFFFF"/>
          <w14:textFill>
            <w14:solidFill>
              <w14:schemeClr w14:val="tx1"/>
            </w14:solidFill>
          </w14:textFill>
        </w:rPr>
        <w:t> </w:t>
      </w:r>
    </w:p>
    <w:p w14:paraId="538AEA0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8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有鉴上述背景和前提，为明确干股相关权利义务事宜，现甲、乙双方经友好协商，特订立以下条款，以兹共同信守：</w:t>
      </w:r>
    </w:p>
    <w:p w14:paraId="748B8C9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8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1"/>
          <w:szCs w:val="21"/>
          <w:shd w:val="clear" w:fill="FFFFFF"/>
          <w14:textFill>
            <w14:solidFill>
              <w14:schemeClr w14:val="tx1"/>
            </w14:solidFill>
          </w14:textFill>
        </w:rPr>
        <w:t> </w:t>
      </w:r>
    </w:p>
    <w:p w14:paraId="0EDDDFD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8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Style w:val="5"/>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第一条  定义</w:t>
      </w:r>
    </w:p>
    <w:p w14:paraId="1F3827B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36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 1.1 公司股份：甲方公司在___________工商部门登记注册，资本金总额为人民币__</w:t>
      </w:r>
      <w:r>
        <w:rPr>
          <w:rFonts w:hint="eastAsia" w:ascii="宋体" w:hAnsi="宋体" w:eastAsia="宋体" w:cs="宋体"/>
          <w:i w:val="0"/>
          <w:iCs w:val="0"/>
          <w:caps w:val="0"/>
          <w:color w:val="000000" w:themeColor="text1"/>
          <w:spacing w:val="15"/>
          <w:sz w:val="24"/>
          <w:szCs w:val="24"/>
          <w:u w:val="single"/>
          <w:shd w:val="clear" w:fill="FFFFFF"/>
          <w14:textFill>
            <w14:solidFill>
              <w14:schemeClr w14:val="tx1"/>
            </w14:solidFill>
          </w14:textFill>
        </w:rPr>
        <w:t>100 </w:t>
      </w: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万元。现暂按照每股人民币【壹拾】元计算，公司总股份数共计</w:t>
      </w:r>
      <w:r>
        <w:rPr>
          <w:rFonts w:hint="eastAsia" w:ascii="宋体" w:hAnsi="宋体" w:eastAsia="宋体" w:cs="宋体"/>
          <w:i w:val="0"/>
          <w:iCs w:val="0"/>
          <w:caps w:val="0"/>
          <w:color w:val="000000" w:themeColor="text1"/>
          <w:spacing w:val="15"/>
          <w:sz w:val="24"/>
          <w:szCs w:val="24"/>
          <w:u w:val="single"/>
          <w:shd w:val="clear" w:fill="FFFFFF"/>
          <w14:textFill>
            <w14:solidFill>
              <w14:schemeClr w14:val="tx1"/>
            </w14:solidFill>
          </w14:textFill>
        </w:rPr>
        <w:t>  100000</w:t>
      </w: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股。</w:t>
      </w:r>
    </w:p>
    <w:p w14:paraId="5BF9C8F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36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 1.2 干股：甲方公司及创始股东授予乙方员工本协议约定比例或数量的股份，乙方无需实际出资，并在与甲方劳动合同关系存续期间，享有该股份比例项下的公司经营业绩分红权。该股份性质不属于进行工商登记的资本股份，不享有股东比例项下对应的公司资产权益，不享有表决、同比增资、资产分配、公司清算等资本股份权利，不能转让与继承。</w:t>
      </w:r>
    </w:p>
    <w:p w14:paraId="3A9CE5E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36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 1.3 分红：指甲方公司根据《公司法》、《章程》以及财务税务规定，按照财务年度核算下来的公司税后净利润。该净利润作为分红分配时，应保留公司业务发展的足够现金流。</w:t>
      </w:r>
    </w:p>
    <w:p w14:paraId="11FF583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36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 1.4 员工股东：指按照本协议享受干股分红的甲方员工。</w:t>
      </w:r>
    </w:p>
    <w:p w14:paraId="75FBAFE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36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 1.5 期权股权激励：指公司在条件成熟时，在本干股协议实施的基础上，由模拟股份过渡至资本股份的股权激励。在该方案下，员工股东实现和享有资本意义项下的股份权利。</w:t>
      </w:r>
    </w:p>
    <w:p w14:paraId="22EDE1F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36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1"/>
          <w:szCs w:val="21"/>
          <w:shd w:val="clear" w:fill="FFFFFF"/>
          <w14:textFill>
            <w14:solidFill>
              <w14:schemeClr w14:val="tx1"/>
            </w14:solidFill>
          </w14:textFill>
        </w:rPr>
        <w:t> </w:t>
      </w:r>
    </w:p>
    <w:p w14:paraId="46A25F8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8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Style w:val="5"/>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第二条 乙方干股</w:t>
      </w:r>
    </w:p>
    <w:p w14:paraId="2AC37A1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2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2.1 甲方授予乙方</w:t>
      </w:r>
      <w:r>
        <w:rPr>
          <w:rFonts w:hint="eastAsia" w:ascii="宋体" w:hAnsi="宋体" w:eastAsia="宋体" w:cs="宋体"/>
          <w:i w:val="0"/>
          <w:iCs w:val="0"/>
          <w:caps w:val="0"/>
          <w:color w:val="000000" w:themeColor="text1"/>
          <w:spacing w:val="15"/>
          <w:sz w:val="24"/>
          <w:szCs w:val="24"/>
          <w:u w:val="single"/>
          <w:shd w:val="clear" w:fill="FFFFFF"/>
          <w14:textFill>
            <w14:solidFill>
              <w14:schemeClr w14:val="tx1"/>
            </w14:solidFill>
          </w14:textFill>
        </w:rPr>
        <w:t>__2 _</w:t>
      </w: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%的干股，即</w:t>
      </w:r>
      <w:r>
        <w:rPr>
          <w:rFonts w:hint="eastAsia" w:ascii="宋体" w:hAnsi="宋体" w:eastAsia="宋体" w:cs="宋体"/>
          <w:i w:val="0"/>
          <w:iCs w:val="0"/>
          <w:caps w:val="0"/>
          <w:color w:val="000000" w:themeColor="text1"/>
          <w:spacing w:val="15"/>
          <w:sz w:val="24"/>
          <w:szCs w:val="24"/>
          <w:u w:val="single"/>
          <w:shd w:val="clear" w:fill="FFFFFF"/>
          <w14:textFill>
            <w14:solidFill>
              <w14:schemeClr w14:val="tx1"/>
            </w14:solidFill>
          </w14:textFill>
        </w:rPr>
        <w:t>___2000__</w:t>
      </w: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股（数）。</w:t>
      </w:r>
    </w:p>
    <w:p w14:paraId="13B325B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2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2.2 乙方持有上述干股，仅在乙方与甲方之间劳动关系存续期间有效。乙方离职时，协议自动终止，乙方不再享有本协议项下干股权利。</w:t>
      </w:r>
    </w:p>
    <w:p w14:paraId="7933515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2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2.3 乙方享有该股份比例下的公司经营业绩分红权利，但无其他资本股份项下的股东权利。与此对应，如甲方公司未能实现盈利，将不进行分红；而乙方作为干股股东也无需承担以自有资金填补公司亏损的资本股东义务。</w:t>
      </w:r>
    </w:p>
    <w:p w14:paraId="53D8D84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2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2.4 乙方不享有股份比例下的公司资产权益和相应的分配清算权利，包括固定、无形资产及升值。</w:t>
      </w:r>
    </w:p>
    <w:p w14:paraId="23BD9A0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2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1"/>
          <w:szCs w:val="21"/>
          <w:shd w:val="clear" w:fill="FFFFFF"/>
          <w14:textFill>
            <w14:solidFill>
              <w14:schemeClr w14:val="tx1"/>
            </w14:solidFill>
          </w14:textFill>
        </w:rPr>
        <w:t> </w:t>
      </w:r>
    </w:p>
    <w:p w14:paraId="2A2DAEC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8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Style w:val="5"/>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第三条  分红核算、领取</w:t>
      </w:r>
    </w:p>
    <w:p w14:paraId="4BCDACC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2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3.1 每财务年度的分红核算，将在下年度的四（4）月份之前完成。</w:t>
      </w:r>
    </w:p>
    <w:p w14:paraId="4A3469A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2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3.2 为保障公司现金流正常，分红款将分两次领取：60%在下年度4月份核算完毕后一起发放；40%与下年度年终奖（或12月份）一起发放。</w:t>
      </w:r>
    </w:p>
    <w:p w14:paraId="343DDA0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2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3.3 乙方确认，该分红款为本协议项下的干股分红，不属于乙方劳动合同关系项下的奖金、福利或其他性质的劳动报酬，不作为劳动法计算工资报酬的基数依据。</w:t>
      </w:r>
    </w:p>
    <w:p w14:paraId="513F523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2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1"/>
          <w:szCs w:val="21"/>
          <w:shd w:val="clear" w:fill="FFFFFF"/>
          <w14:textFill>
            <w14:solidFill>
              <w14:schemeClr w14:val="tx1"/>
            </w14:solidFill>
          </w14:textFill>
        </w:rPr>
        <w:t> </w:t>
      </w:r>
    </w:p>
    <w:p w14:paraId="10A1676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8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Style w:val="5"/>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第四条  双方权利与义务</w:t>
      </w:r>
    </w:p>
    <w:p w14:paraId="14F2758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2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4.1 甲方权利义务</w:t>
      </w:r>
    </w:p>
    <w:p w14:paraId="343E1A1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2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（1）甲方有权根据实际情况分配乙方干股股份比例和数量，并根据公司发展情况、乙方工作业绩等做出相应调整。</w:t>
      </w:r>
    </w:p>
    <w:p w14:paraId="3C49273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2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（2）在乙方违反本协议时，甲方有权在合同期后解除合同，收回干股股份。</w:t>
      </w:r>
    </w:p>
    <w:p w14:paraId="7A700C9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2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（3）甲方根据协议向乙方核算、结算干股分红款。</w:t>
      </w:r>
    </w:p>
    <w:p w14:paraId="6B22DA4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420" w:right="0" w:firstLine="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4.2 乙方权利义务</w:t>
      </w:r>
    </w:p>
    <w:p w14:paraId="6A99E32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2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（1）乙方获得干股无需进行货币、实物、土地使用权等的实际投入。</w:t>
      </w:r>
    </w:p>
    <w:p w14:paraId="32AFADD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2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（2）乙方有权根据本协议享受干股分红。</w:t>
      </w:r>
    </w:p>
    <w:p w14:paraId="76A3AF1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2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（3）乙方需较非员工股东更加勤勉尽责，带头遵守、尊重甲方公司各项规章制度，维护甲方公司利益和商誉。</w:t>
      </w:r>
    </w:p>
    <w:p w14:paraId="4530310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2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4）乙方不得泄漏甲方公司客户名单、技术信息等商业秘密，不得收受商业贿赂或回扣，或以其他形式侵占、损害公司利益和商誉。乙方在本协议期间及终止后二（2）年内不得在与甲方生产同类产品、经营同类业务或有其他竞争关系的用人单位任职，也不得自己生产、经营与甲方有竞争关系的同类产品或经营同类业务。否则，甲方公司有权要求退还全部分红款，并追究乙方违约责任。</w:t>
      </w:r>
    </w:p>
    <w:p w14:paraId="752A6DF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2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（5）乙方应与甲方应当重新签订劳动合同以适应本协议相关内容。</w:t>
      </w:r>
    </w:p>
    <w:p w14:paraId="75A3FAD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2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1"/>
          <w:szCs w:val="21"/>
          <w:shd w:val="clear" w:fill="FFFFFF"/>
          <w14:textFill>
            <w14:solidFill>
              <w14:schemeClr w14:val="tx1"/>
            </w14:solidFill>
          </w14:textFill>
        </w:rPr>
        <w:t> </w:t>
      </w:r>
    </w:p>
    <w:p w14:paraId="05660B6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8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Style w:val="5"/>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第五条 协议期限、终止与解除</w:t>
      </w:r>
    </w:p>
    <w:p w14:paraId="2E3FB8E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120" w:right="0" w:firstLine="30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5.1 本协议期限为</w:t>
      </w:r>
      <w:r>
        <w:rPr>
          <w:rFonts w:hint="eastAsia" w:ascii="宋体" w:hAnsi="宋体" w:eastAsia="宋体" w:cs="宋体"/>
          <w:i w:val="0"/>
          <w:iCs w:val="0"/>
          <w:caps w:val="0"/>
          <w:color w:val="000000" w:themeColor="text1"/>
          <w:spacing w:val="15"/>
          <w:sz w:val="24"/>
          <w:szCs w:val="24"/>
          <w:u w:val="single"/>
          <w:shd w:val="clear" w:fill="FFFFFF"/>
          <w14:textFill>
            <w14:solidFill>
              <w14:schemeClr w14:val="tx1"/>
            </w14:solidFill>
          </w14:textFill>
        </w:rPr>
        <w:t>    </w:t>
      </w: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年，自</w:t>
      </w:r>
      <w:r>
        <w:rPr>
          <w:rFonts w:hint="eastAsia" w:ascii="宋体" w:hAnsi="宋体" w:eastAsia="宋体" w:cs="宋体"/>
          <w:i w:val="0"/>
          <w:iCs w:val="0"/>
          <w:caps w:val="0"/>
          <w:color w:val="000000" w:themeColor="text1"/>
          <w:spacing w:val="15"/>
          <w:sz w:val="24"/>
          <w:szCs w:val="24"/>
          <w:u w:val="single"/>
          <w:shd w:val="clear" w:fill="FFFFFF"/>
          <w14:textFill>
            <w14:solidFill>
              <w14:schemeClr w14:val="tx1"/>
            </w14:solidFill>
          </w14:textFill>
        </w:rPr>
        <w:t> </w:t>
      </w:r>
      <w:r>
        <w:rPr>
          <w:rFonts w:hint="eastAsia" w:ascii="宋体" w:hAnsi="宋体" w:eastAsia="宋体" w:cs="宋体"/>
          <w:i w:val="0"/>
          <w:iCs w:val="0"/>
          <w:caps w:val="0"/>
          <w:color w:val="000000" w:themeColor="text1"/>
          <w:spacing w:val="15"/>
          <w:sz w:val="24"/>
          <w:szCs w:val="24"/>
          <w:u w:val="single"/>
          <w:shd w:val="clear" w:fill="FFFFFF"/>
          <w:lang w:val="en-US" w:eastAsia="zh-CN"/>
          <w14:textFill>
            <w14:solidFill>
              <w14:schemeClr w14:val="tx1"/>
            </w14:solidFill>
          </w14:textFill>
        </w:rPr>
        <w:t xml:space="preserve">   </w:t>
      </w:r>
      <w:r>
        <w:rPr>
          <w:rFonts w:hint="eastAsia" w:ascii="宋体" w:hAnsi="宋体" w:eastAsia="宋体" w:cs="宋体"/>
          <w:i w:val="0"/>
          <w:iCs w:val="0"/>
          <w:caps w:val="0"/>
          <w:color w:val="000000" w:themeColor="text1"/>
          <w:spacing w:val="15"/>
          <w:sz w:val="24"/>
          <w:szCs w:val="24"/>
          <w:u w:val="single"/>
          <w:shd w:val="clear" w:fill="FFFFFF"/>
          <w14:textFill>
            <w14:solidFill>
              <w14:schemeClr w14:val="tx1"/>
            </w14:solidFill>
          </w14:textFill>
        </w:rPr>
        <w:t> </w:t>
      </w: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年_</w:t>
      </w:r>
      <w:r>
        <w:rPr>
          <w:rFonts w:hint="eastAsia" w:ascii="宋体" w:hAnsi="宋体" w:eastAsia="宋体" w:cs="宋体"/>
          <w:i w:val="0"/>
          <w:iCs w:val="0"/>
          <w:caps w:val="0"/>
          <w:color w:val="000000" w:themeColor="text1"/>
          <w:spacing w:val="15"/>
          <w:sz w:val="24"/>
          <w:szCs w:val="24"/>
          <w:u w:val="single"/>
          <w:shd w:val="clear" w:fill="FFFFFF"/>
          <w14:textFill>
            <w14:solidFill>
              <w14:schemeClr w14:val="tx1"/>
            </w14:solidFill>
          </w14:textFill>
        </w:rPr>
        <w:t> </w:t>
      </w:r>
      <w:r>
        <w:rPr>
          <w:rFonts w:hint="eastAsia" w:ascii="宋体" w:hAnsi="宋体" w:eastAsia="宋体" w:cs="宋体"/>
          <w:i w:val="0"/>
          <w:iCs w:val="0"/>
          <w:caps w:val="0"/>
          <w:color w:val="000000" w:themeColor="text1"/>
          <w:spacing w:val="15"/>
          <w:sz w:val="24"/>
          <w:szCs w:val="24"/>
          <w:u w:val="single"/>
          <w:shd w:val="clear" w:fill="FFFFFF"/>
          <w:lang w:val="en-US" w:eastAsia="zh-CN"/>
          <w14:textFill>
            <w14:solidFill>
              <w14:schemeClr w14:val="tx1"/>
            </w14:solidFill>
          </w14:textFill>
        </w:rPr>
        <w:t xml:space="preserve"> </w:t>
      </w:r>
      <w:r>
        <w:rPr>
          <w:rFonts w:hint="eastAsia" w:ascii="宋体" w:hAnsi="宋体" w:eastAsia="宋体" w:cs="宋体"/>
          <w:i w:val="0"/>
          <w:iCs w:val="0"/>
          <w:caps w:val="0"/>
          <w:color w:val="000000" w:themeColor="text1"/>
          <w:spacing w:val="15"/>
          <w:sz w:val="24"/>
          <w:szCs w:val="24"/>
          <w:u w:val="single"/>
          <w:shd w:val="clear" w:fill="FFFFFF"/>
          <w14:textFill>
            <w14:solidFill>
              <w14:schemeClr w14:val="tx1"/>
            </w14:solidFill>
          </w14:textFill>
        </w:rPr>
        <w:t> </w:t>
      </w: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月</w:t>
      </w:r>
      <w:r>
        <w:rPr>
          <w:rFonts w:hint="eastAsia" w:ascii="宋体" w:hAnsi="宋体" w:eastAsia="宋体" w:cs="宋体"/>
          <w:i w:val="0"/>
          <w:iCs w:val="0"/>
          <w:caps w:val="0"/>
          <w:color w:val="000000" w:themeColor="text1"/>
          <w:spacing w:val="15"/>
          <w:sz w:val="24"/>
          <w:szCs w:val="24"/>
          <w:u w:val="single"/>
          <w:shd w:val="clear" w:fill="FFFFFF"/>
          <w14:textFill>
            <w14:solidFill>
              <w14:schemeClr w14:val="tx1"/>
            </w14:solidFill>
          </w14:textFill>
        </w:rPr>
        <w:t> </w:t>
      </w:r>
      <w:r>
        <w:rPr>
          <w:rFonts w:hint="eastAsia" w:ascii="宋体" w:hAnsi="宋体" w:eastAsia="宋体" w:cs="宋体"/>
          <w:i w:val="0"/>
          <w:iCs w:val="0"/>
          <w:caps w:val="0"/>
          <w:color w:val="000000" w:themeColor="text1"/>
          <w:spacing w:val="15"/>
          <w:sz w:val="24"/>
          <w:szCs w:val="24"/>
          <w:u w:val="single"/>
          <w:shd w:val="clear" w:fill="FFFFFF"/>
          <w:lang w:val="en-US" w:eastAsia="zh-CN"/>
          <w14:textFill>
            <w14:solidFill>
              <w14:schemeClr w14:val="tx1"/>
            </w14:solidFill>
          </w14:textFill>
        </w:rPr>
        <w:t xml:space="preserve"> </w:t>
      </w:r>
      <w:r>
        <w:rPr>
          <w:rFonts w:hint="eastAsia" w:ascii="宋体" w:hAnsi="宋体" w:eastAsia="宋体" w:cs="宋体"/>
          <w:i w:val="0"/>
          <w:iCs w:val="0"/>
          <w:caps w:val="0"/>
          <w:color w:val="000000" w:themeColor="text1"/>
          <w:spacing w:val="15"/>
          <w:sz w:val="24"/>
          <w:szCs w:val="24"/>
          <w:u w:val="single"/>
          <w:shd w:val="clear" w:fill="FFFFFF"/>
          <w14:textFill>
            <w14:solidFill>
              <w14:schemeClr w14:val="tx1"/>
            </w14:solidFill>
          </w14:textFill>
        </w:rPr>
        <w:t> </w:t>
      </w: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日至</w:t>
      </w:r>
      <w:r>
        <w:rPr>
          <w:rFonts w:hint="eastAsia" w:ascii="宋体" w:hAnsi="宋体" w:eastAsia="宋体" w:cs="宋体"/>
          <w:i w:val="0"/>
          <w:iCs w:val="0"/>
          <w:caps w:val="0"/>
          <w:color w:val="000000" w:themeColor="text1"/>
          <w:spacing w:val="15"/>
          <w:sz w:val="24"/>
          <w:szCs w:val="24"/>
          <w:u w:val="single"/>
          <w:shd w:val="clear" w:fill="FFFFFF"/>
          <w14:textFill>
            <w14:solidFill>
              <w14:schemeClr w14:val="tx1"/>
            </w14:solidFill>
          </w14:textFill>
        </w:rPr>
        <w:t> </w:t>
      </w:r>
      <w:r>
        <w:rPr>
          <w:rFonts w:hint="eastAsia" w:ascii="宋体" w:hAnsi="宋体" w:eastAsia="宋体" w:cs="宋体"/>
          <w:i w:val="0"/>
          <w:iCs w:val="0"/>
          <w:caps w:val="0"/>
          <w:color w:val="000000" w:themeColor="text1"/>
          <w:spacing w:val="15"/>
          <w:sz w:val="24"/>
          <w:szCs w:val="24"/>
          <w:u w:val="single"/>
          <w:shd w:val="clear" w:fill="FFFFFF"/>
          <w:lang w:val="en-US" w:eastAsia="zh-CN"/>
          <w14:textFill>
            <w14:solidFill>
              <w14:schemeClr w14:val="tx1"/>
            </w14:solidFill>
          </w14:textFill>
        </w:rPr>
        <w:t xml:space="preserve">    </w:t>
      </w: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年</w:t>
      </w:r>
      <w:r>
        <w:rPr>
          <w:rFonts w:hint="eastAsia" w:ascii="宋体" w:hAnsi="宋体" w:eastAsia="宋体" w:cs="宋体"/>
          <w:i w:val="0"/>
          <w:iCs w:val="0"/>
          <w:caps w:val="0"/>
          <w:color w:val="000000" w:themeColor="text1"/>
          <w:spacing w:val="15"/>
          <w:sz w:val="24"/>
          <w:szCs w:val="24"/>
          <w:u w:val="single"/>
          <w:shd w:val="clear" w:fill="FFFFFF"/>
          <w14:textFill>
            <w14:solidFill>
              <w14:schemeClr w14:val="tx1"/>
            </w14:solidFill>
          </w14:textFill>
        </w:rPr>
        <w:t>  </w:t>
      </w:r>
      <w:r>
        <w:rPr>
          <w:rFonts w:hint="eastAsia" w:ascii="宋体" w:hAnsi="宋体" w:eastAsia="宋体" w:cs="宋体"/>
          <w:i w:val="0"/>
          <w:iCs w:val="0"/>
          <w:caps w:val="0"/>
          <w:color w:val="000000" w:themeColor="text1"/>
          <w:spacing w:val="15"/>
          <w:sz w:val="24"/>
          <w:szCs w:val="24"/>
          <w:u w:val="single"/>
          <w:shd w:val="clear" w:fill="FFFFFF"/>
          <w:lang w:val="en-US" w:eastAsia="zh-CN"/>
          <w14:textFill>
            <w14:solidFill>
              <w14:schemeClr w14:val="tx1"/>
            </w14:solidFill>
          </w14:textFill>
        </w:rPr>
        <w:t xml:space="preserve"> </w:t>
      </w:r>
      <w:r>
        <w:rPr>
          <w:rFonts w:hint="eastAsia" w:ascii="宋体" w:hAnsi="宋体" w:eastAsia="宋体" w:cs="宋体"/>
          <w:i w:val="0"/>
          <w:iCs w:val="0"/>
          <w:caps w:val="0"/>
          <w:color w:val="000000" w:themeColor="text1"/>
          <w:spacing w:val="15"/>
          <w:sz w:val="24"/>
          <w:szCs w:val="24"/>
          <w:u w:val="single"/>
          <w:shd w:val="clear" w:fill="FFFFFF"/>
          <w14:textFill>
            <w14:solidFill>
              <w14:schemeClr w14:val="tx1"/>
            </w14:solidFill>
          </w14:textFill>
        </w:rPr>
        <w:t> </w:t>
      </w: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月</w:t>
      </w:r>
      <w:r>
        <w:rPr>
          <w:rFonts w:hint="eastAsia" w:ascii="宋体" w:hAnsi="宋体" w:eastAsia="宋体" w:cs="宋体"/>
          <w:i w:val="0"/>
          <w:iCs w:val="0"/>
          <w:caps w:val="0"/>
          <w:color w:val="000000" w:themeColor="text1"/>
          <w:spacing w:val="15"/>
          <w:sz w:val="24"/>
          <w:szCs w:val="24"/>
          <w:u w:val="single"/>
          <w:shd w:val="clear" w:fill="FFFFFF"/>
          <w14:textFill>
            <w14:solidFill>
              <w14:schemeClr w14:val="tx1"/>
            </w14:solidFill>
          </w14:textFill>
        </w:rPr>
        <w:t> </w:t>
      </w:r>
      <w:r>
        <w:rPr>
          <w:rFonts w:hint="eastAsia" w:ascii="宋体" w:hAnsi="宋体" w:eastAsia="宋体" w:cs="宋体"/>
          <w:i w:val="0"/>
          <w:iCs w:val="0"/>
          <w:caps w:val="0"/>
          <w:color w:val="000000" w:themeColor="text1"/>
          <w:spacing w:val="15"/>
          <w:sz w:val="24"/>
          <w:szCs w:val="24"/>
          <w:u w:val="single"/>
          <w:shd w:val="clear" w:fill="FFFFFF"/>
          <w:lang w:val="en-US" w:eastAsia="zh-CN"/>
          <w14:textFill>
            <w14:solidFill>
              <w14:schemeClr w14:val="tx1"/>
            </w14:solidFill>
          </w14:textFill>
        </w:rPr>
        <w:t xml:space="preserve">  </w:t>
      </w:r>
      <w:bookmarkStart w:id="0" w:name="_GoBack"/>
      <w:bookmarkEnd w:id="0"/>
      <w:r>
        <w:rPr>
          <w:rFonts w:hint="eastAsia" w:ascii="宋体" w:hAnsi="宋体" w:eastAsia="宋体" w:cs="宋体"/>
          <w:i w:val="0"/>
          <w:iCs w:val="0"/>
          <w:caps w:val="0"/>
          <w:color w:val="000000" w:themeColor="text1"/>
          <w:spacing w:val="15"/>
          <w:sz w:val="24"/>
          <w:szCs w:val="24"/>
          <w:u w:val="single"/>
          <w:shd w:val="clear" w:fill="FFFFFF"/>
          <w14:textFill>
            <w14:solidFill>
              <w14:schemeClr w14:val="tx1"/>
            </w14:solidFill>
          </w14:textFill>
        </w:rPr>
        <w:t> </w:t>
      </w: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日止。该期限与乙方新签劳动合同期限保持一致。</w:t>
      </w:r>
    </w:p>
    <w:p w14:paraId="566B201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2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5.2 本协议于到期日自动终止，除非双方在到期日前15日内签署书面协议，对本协议期限进行续期。</w:t>
      </w:r>
    </w:p>
    <w:p w14:paraId="1A3987E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2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5.3 存在以下情形时，甲方有权提前解除本协议，无偿收回股权，取消当年分红：</w:t>
      </w:r>
    </w:p>
    <w:p w14:paraId="6C72495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2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（1）劳动合同关系解除或终止的，包括但不限于辞职、离职、被甲方解聘等；</w:t>
      </w:r>
    </w:p>
    <w:p w14:paraId="32CB6F4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2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（2）乙方违反法律法规，或严重违反公司章程或规章制度、劳动合同、保密协议、公司决定等对乙方有约束力的文件的；</w:t>
      </w:r>
    </w:p>
    <w:p w14:paraId="7DFE498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2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（3）违反本协议第4.2条第（4）项保密义务、廉洁义务及竟业限制义务的；</w:t>
      </w:r>
    </w:p>
    <w:p w14:paraId="551AB99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2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（4）其他严重损害甲方利益或商誉的行为。</w:t>
      </w:r>
    </w:p>
    <w:p w14:paraId="7573FB3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8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如发生上述（2）、（3）、（4）项，甲方另有权要求乙方返还已分配的分红款，并追究乙方违约责任。</w:t>
      </w:r>
    </w:p>
    <w:p w14:paraId="4EDAE20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375"/>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1"/>
          <w:szCs w:val="21"/>
          <w:shd w:val="clear" w:fill="FFFFFF"/>
          <w14:textFill>
            <w14:solidFill>
              <w14:schemeClr w14:val="tx1"/>
            </w14:solidFill>
          </w14:textFill>
        </w:rPr>
        <w:t> </w:t>
      </w:r>
    </w:p>
    <w:p w14:paraId="12CB58C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8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Style w:val="5"/>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第六条 争议解决</w:t>
      </w:r>
    </w:p>
    <w:p w14:paraId="4A0D6BF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2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与本协议有关或因本协议引起的争议，双方友好协商解决。协商不成，交由甲方所在地人民法院管辖。</w:t>
      </w:r>
    </w:p>
    <w:p w14:paraId="7C2B5AD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2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1"/>
          <w:szCs w:val="21"/>
          <w:shd w:val="clear" w:fill="FFFFFF"/>
          <w14:textFill>
            <w14:solidFill>
              <w14:schemeClr w14:val="tx1"/>
            </w14:solidFill>
          </w14:textFill>
        </w:rPr>
        <w:t> </w:t>
      </w:r>
    </w:p>
    <w:p w14:paraId="510E3B8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2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Style w:val="5"/>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第七条  通知与送达</w:t>
      </w:r>
    </w:p>
    <w:p w14:paraId="427A200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2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7.1 协议双方有效通讯地址与联系方式</w:t>
      </w:r>
    </w:p>
    <w:p w14:paraId="193FA07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2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 (1) 甲方有效通讯地址：</w:t>
      </w:r>
      <w:r>
        <w:rPr>
          <w:rFonts w:hint="eastAsia" w:ascii="宋体" w:hAnsi="宋体" w:eastAsia="宋体" w:cs="宋体"/>
          <w:i w:val="0"/>
          <w:iCs w:val="0"/>
          <w:caps w:val="0"/>
          <w:color w:val="000000" w:themeColor="text1"/>
          <w:spacing w:val="15"/>
          <w:sz w:val="24"/>
          <w:szCs w:val="24"/>
          <w:u w:val="single"/>
          <w:shd w:val="clear" w:fill="FFFFFF"/>
          <w14:textFill>
            <w14:solidFill>
              <w14:schemeClr w14:val="tx1"/>
            </w14:solidFill>
          </w14:textFill>
        </w:rPr>
        <w:t>           </w:t>
      </w:r>
    </w:p>
    <w:p w14:paraId="6BD6D6E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2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     甲方电子邮件：</w:t>
      </w:r>
      <w:r>
        <w:rPr>
          <w:rFonts w:hint="eastAsia" w:ascii="宋体" w:hAnsi="宋体" w:eastAsia="宋体" w:cs="宋体"/>
          <w:i w:val="0"/>
          <w:iCs w:val="0"/>
          <w:caps w:val="0"/>
          <w:color w:val="000000" w:themeColor="text1"/>
          <w:spacing w:val="15"/>
          <w:sz w:val="24"/>
          <w:szCs w:val="24"/>
          <w:u w:val="single"/>
          <w:shd w:val="clear" w:fill="FFFFFF"/>
          <w14:textFill>
            <w14:solidFill>
              <w14:schemeClr w14:val="tx1"/>
            </w14:solidFill>
          </w14:textFill>
        </w:rPr>
        <w:t>              </w:t>
      </w:r>
    </w:p>
    <w:p w14:paraId="4AB0A18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60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(2) 乙方有效通讯地址：</w:t>
      </w:r>
      <w:r>
        <w:rPr>
          <w:rFonts w:hint="eastAsia" w:ascii="宋体" w:hAnsi="宋体" w:eastAsia="宋体" w:cs="宋体"/>
          <w:i w:val="0"/>
          <w:iCs w:val="0"/>
          <w:caps w:val="0"/>
          <w:color w:val="000000" w:themeColor="text1"/>
          <w:spacing w:val="15"/>
          <w:sz w:val="24"/>
          <w:szCs w:val="24"/>
          <w:u w:val="single"/>
          <w:shd w:val="clear" w:fill="FFFFFF"/>
          <w14:textFill>
            <w14:solidFill>
              <w14:schemeClr w14:val="tx1"/>
            </w14:solidFill>
          </w14:textFill>
        </w:rPr>
        <w:t>              </w:t>
      </w:r>
    </w:p>
    <w:p w14:paraId="4F81F5C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2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     乙方电子邮件：</w:t>
      </w:r>
      <w:r>
        <w:rPr>
          <w:rFonts w:hint="eastAsia" w:ascii="宋体" w:hAnsi="宋体" w:eastAsia="宋体" w:cs="宋体"/>
          <w:i w:val="0"/>
          <w:iCs w:val="0"/>
          <w:caps w:val="0"/>
          <w:color w:val="000000" w:themeColor="text1"/>
          <w:spacing w:val="15"/>
          <w:sz w:val="24"/>
          <w:szCs w:val="24"/>
          <w:u w:val="single"/>
          <w:shd w:val="clear" w:fill="FFFFFF"/>
          <w14:textFill>
            <w14:solidFill>
              <w14:schemeClr w14:val="tx1"/>
            </w14:solidFill>
          </w14:textFill>
        </w:rPr>
        <w:t>                </w:t>
      </w:r>
    </w:p>
    <w:p w14:paraId="6551099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2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7.2 双方有关协议履行过程中的书面文件或通知，以及相关司法文书、法律文件等均应按照上述通讯地址或联系方式送达。如有变更应提前30日书面通知对方。否则，按照上述地址或方式寄送，均视为有效送达且不得异议。</w:t>
      </w:r>
    </w:p>
    <w:p w14:paraId="0062644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2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1"/>
          <w:szCs w:val="21"/>
          <w:shd w:val="clear" w:fill="FFFFFF"/>
          <w14:textFill>
            <w14:solidFill>
              <w14:schemeClr w14:val="tx1"/>
            </w14:solidFill>
          </w14:textFill>
        </w:rPr>
        <w:t> </w:t>
      </w:r>
    </w:p>
    <w:p w14:paraId="61225FD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2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Style w:val="5"/>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第八条 其他</w:t>
      </w:r>
    </w:p>
    <w:p w14:paraId="74DE366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20"/>
        <w:jc w:val="left"/>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8.1 本协议未尽内容，双方友好协商，以书面补充协议的形式另行签署。</w:t>
      </w:r>
    </w:p>
    <w:p w14:paraId="2AECFB3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20"/>
        <w:jc w:val="left"/>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8.2 本协议一式两份，甲乙双方各执一份，具有同等法律效力，自双方签字或盖章之日起生效。本协议于_____年___月____日签订于昆明市。</w:t>
      </w:r>
    </w:p>
    <w:p w14:paraId="73D6081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20"/>
        <w:jc w:val="left"/>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pPr>
    </w:p>
    <w:p w14:paraId="7EF97DF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20"/>
        <w:jc w:val="left"/>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pPr>
    </w:p>
    <w:p w14:paraId="28316A48">
      <w:pPr>
        <w:rPr>
          <w:rFonts w:hint="eastAsia"/>
          <w:sz w:val="30"/>
          <w:szCs w:val="30"/>
        </w:rPr>
      </w:pPr>
      <w:r>
        <w:rPr>
          <w:rFonts w:hint="eastAsia"/>
          <w:sz w:val="30"/>
          <w:szCs w:val="30"/>
        </w:rPr>
        <w:t xml:space="preserve">     甲方（签名）：                乙方（签名）：                         </w:t>
      </w:r>
    </w:p>
    <w:p w14:paraId="01799BD4">
      <w:pPr>
        <w:rPr>
          <w:sz w:val="30"/>
          <w:szCs w:val="30"/>
        </w:rPr>
      </w:pPr>
      <w:r>
        <w:rPr>
          <w:rFonts w:hint="eastAsia"/>
          <w:sz w:val="30"/>
          <w:szCs w:val="30"/>
        </w:rPr>
        <w:t xml:space="preserve">     时间：                     </w:t>
      </w:r>
      <w:r>
        <w:rPr>
          <w:rFonts w:hint="eastAsia"/>
          <w:sz w:val="30"/>
          <w:szCs w:val="30"/>
          <w:lang w:val="en-US" w:eastAsia="zh-CN"/>
        </w:rPr>
        <w:t xml:space="preserve"> </w:t>
      </w:r>
      <w:r>
        <w:rPr>
          <w:rFonts w:hint="eastAsia"/>
          <w:sz w:val="30"/>
          <w:szCs w:val="30"/>
        </w:rPr>
        <w:t xml:space="preserve"> 时间：</w:t>
      </w:r>
    </w:p>
    <w:p w14:paraId="5459EA6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20"/>
        <w:jc w:val="left"/>
        <w:rPr>
          <w:rFonts w:hint="default" w:ascii="宋体" w:hAnsi="宋体" w:eastAsia="宋体" w:cs="宋体"/>
          <w:i w:val="0"/>
          <w:iCs w:val="0"/>
          <w:caps w:val="0"/>
          <w:color w:val="000000" w:themeColor="text1"/>
          <w:spacing w:val="15"/>
          <w:sz w:val="24"/>
          <w:szCs w:val="24"/>
          <w:shd w:val="clear" w:fill="FFFFFF"/>
          <w:lang w:val="en-US" w:eastAsia="zh-CN"/>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8CF3C50" w:usb2="00000016" w:usb3="00000000" w:csb0="0004001F" w:csb1="00000000"/>
  </w:font>
  <w:font w:name="华文新魏">
    <w:panose1 w:val="02010800040101010101"/>
    <w:charset w:val="86"/>
    <w:family w:val="auto"/>
    <w:pitch w:val="default"/>
    <w:sig w:usb0="00000001" w:usb1="080F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gyNzg2YWI3ZDBhMDVhNzJiMjViNjUyYWMyMDIwZTcifQ=="/>
  </w:docVars>
  <w:rsids>
    <w:rsidRoot w:val="284C162F"/>
    <w:rsid w:val="284C162F"/>
    <w:rsid w:val="3A170D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2083</Words>
  <Characters>2187</Characters>
  <Lines>0</Lines>
  <Paragraphs>0</Paragraphs>
  <TotalTime>0</TotalTime>
  <ScaleCrop>false</ScaleCrop>
  <LinksUpToDate>false</LinksUpToDate>
  <CharactersWithSpaces>2405</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2024-08-01T03:58:00Z</dcterms:created>
  <dc:creator>长云张伟</dc:creator>
  <cp:lastModifiedBy>长云张伟</cp:lastModifiedBy>
  <dcterms:modified xsi:type="dcterms:W3CDTF">2024-09-10T01:48:42Z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AD24B2F0AF454F4DBAD029A85D2B4D56_11</vt:lpwstr>
  </property>
</Properties>
</file>